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CE" w:rsidRPr="00017AA1" w:rsidRDefault="00BD27CE" w:rsidP="00BD27CE">
      <w:pPr>
        <w:spacing w:before="100" w:beforeAutospacing="1" w:line="240" w:lineRule="auto"/>
        <w:jc w:val="center"/>
        <w:outlineLvl w:val="3"/>
        <w:rPr>
          <w:rFonts w:ascii="Lato" w:hAnsi="Lato"/>
          <w:b/>
          <w:bCs/>
          <w:color w:val="07080F"/>
          <w:sz w:val="71"/>
          <w:szCs w:val="71"/>
          <w:shd w:val="clear" w:color="auto" w:fill="FFFFFF"/>
        </w:rPr>
      </w:pPr>
      <w:r w:rsidRPr="00017AA1">
        <w:rPr>
          <w:rFonts w:ascii="Lato" w:hAnsi="Lato"/>
          <w:b/>
          <w:bCs/>
          <w:color w:val="07080F"/>
          <w:sz w:val="71"/>
          <w:szCs w:val="96"/>
          <w:highlight w:val="yellow"/>
          <w:shd w:val="clear" w:color="auto" w:fill="FFFFFF"/>
        </w:rPr>
        <w:t>Square Board</w:t>
      </w:r>
    </w:p>
    <w:p w:rsidR="001A16CF" w:rsidRPr="00017AA1" w:rsidRDefault="001A16CF" w:rsidP="001A16CF">
      <w:pPr>
        <w:spacing w:line="0" w:lineRule="auto"/>
        <w:jc w:val="center"/>
        <w:textAlignment w:val="baseline"/>
        <w:rPr>
          <w:rFonts w:ascii="inherit" w:hAnsi="inherit"/>
          <w:color w:val="7F7F7F"/>
          <w:sz w:val="16"/>
          <w:szCs w:val="16"/>
        </w:rPr>
      </w:pPr>
    </w:p>
    <w:p w:rsidR="001A16CF" w:rsidRPr="00017AA1" w:rsidRDefault="001A16CF" w:rsidP="001A16CF">
      <w:pPr>
        <w:pStyle w:val="berschrift4"/>
        <w:spacing w:before="0" w:beforeAutospacing="0" w:after="225" w:afterAutospacing="0" w:line="390" w:lineRule="atLeast"/>
        <w:jc w:val="center"/>
        <w:textAlignment w:val="baseline"/>
        <w:rPr>
          <w:rFonts w:ascii="&amp;quot" w:hAnsi="&amp;quot"/>
          <w:color w:val="07080F"/>
          <w:sz w:val="22"/>
          <w:szCs w:val="22"/>
        </w:rPr>
      </w:pPr>
      <w:r w:rsidRPr="00017AA1">
        <w:rPr>
          <w:rFonts w:ascii="&amp;quot" w:hAnsi="&amp;quot"/>
          <w:color w:val="07080F"/>
          <w:sz w:val="22"/>
          <w:szCs w:val="22"/>
        </w:rPr>
        <w:t>Square Board (Vorderseite und Rückseite)</w:t>
      </w:r>
      <w:bookmarkStart w:id="0" w:name="_GoBack"/>
      <w:bookmarkEnd w:id="0"/>
    </w:p>
    <w:p w:rsidR="001A16CF" w:rsidRPr="00017AA1" w:rsidRDefault="001A16CF" w:rsidP="001A16CF">
      <w:pPr>
        <w:pStyle w:val="berschrift4"/>
        <w:spacing w:before="0" w:beforeAutospacing="0" w:after="225" w:afterAutospacing="0" w:line="390" w:lineRule="atLeast"/>
        <w:jc w:val="center"/>
        <w:textAlignment w:val="baseline"/>
        <w:rPr>
          <w:rFonts w:ascii="&amp;quot" w:hAnsi="&amp;quot"/>
          <w:color w:val="07080F"/>
          <w:sz w:val="22"/>
          <w:szCs w:val="30"/>
        </w:rPr>
      </w:pPr>
      <w:r w:rsidRPr="00017AA1">
        <w:rPr>
          <w:rFonts w:ascii="&amp;quot" w:hAnsi="&amp;quot"/>
          <w:noProof/>
          <w:color w:val="07080F"/>
          <w:sz w:val="22"/>
          <w:szCs w:val="22"/>
        </w:rPr>
        <w:drawing>
          <wp:inline distT="0" distB="0" distL="0" distR="0" wp14:anchorId="16DF7451" wp14:editId="157DFD01">
            <wp:extent cx="2590800" cy="183646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_Board_Vorderse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681" cy="1836377"/>
                    </a:xfrm>
                    <a:prstGeom prst="rect">
                      <a:avLst/>
                    </a:prstGeom>
                  </pic:spPr>
                </pic:pic>
              </a:graphicData>
            </a:graphic>
          </wp:inline>
        </w:drawing>
      </w:r>
      <w:r w:rsidR="00DB6D2C">
        <w:rPr>
          <w:rFonts w:ascii="&amp;quot" w:hAnsi="&amp;quot"/>
          <w:noProof/>
          <w:color w:val="07080F"/>
          <w:sz w:val="22"/>
          <w:szCs w:val="22"/>
        </w:rPr>
        <w:t xml:space="preserve">       </w:t>
      </w:r>
      <w:r w:rsidRPr="00017AA1">
        <w:rPr>
          <w:rFonts w:ascii="&amp;quot" w:hAnsi="&amp;quot"/>
          <w:noProof/>
          <w:color w:val="07080F"/>
          <w:sz w:val="22"/>
          <w:szCs w:val="22"/>
        </w:rPr>
        <w:drawing>
          <wp:inline distT="0" distB="0" distL="0" distR="0" wp14:anchorId="1D5FBDF9" wp14:editId="7D07AC2E">
            <wp:extent cx="2578100" cy="1827460"/>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_Board_Rückse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7981" cy="1827376"/>
                    </a:xfrm>
                    <a:prstGeom prst="rect">
                      <a:avLst/>
                    </a:prstGeom>
                  </pic:spPr>
                </pic:pic>
              </a:graphicData>
            </a:graphic>
          </wp:inline>
        </w:drawing>
      </w:r>
    </w:p>
    <w:p w:rsidR="001A16CF" w:rsidRPr="00017AA1" w:rsidRDefault="001A16CF" w:rsidP="001A16CF">
      <w:pPr>
        <w:pStyle w:val="StandardWeb"/>
        <w:spacing w:before="0" w:beforeAutospacing="0" w:after="0" w:afterAutospacing="0"/>
        <w:textAlignment w:val="baseline"/>
        <w:rPr>
          <w:rFonts w:ascii="inherit" w:hAnsi="inherit"/>
          <w:color w:val="7F7F7F"/>
          <w:sz w:val="18"/>
        </w:rPr>
      </w:pPr>
      <w:r w:rsidRPr="00DB6D2C">
        <w:rPr>
          <w:rFonts w:ascii="inherit" w:hAnsi="inherit"/>
          <w:sz w:val="20"/>
          <w:szCs w:val="18"/>
        </w:rPr>
        <w:t xml:space="preserve">Das Square Board ist eine magnetische Tafel für die Grundschule im Mathematikunterricht und besitzt eine Vorderseite mit dem Hunderterfeld und eine Rückseite mit </w:t>
      </w:r>
      <w:proofErr w:type="gramStart"/>
      <w:r w:rsidRPr="00DB6D2C">
        <w:rPr>
          <w:rFonts w:ascii="inherit" w:hAnsi="inherit"/>
          <w:sz w:val="20"/>
          <w:szCs w:val="18"/>
        </w:rPr>
        <w:t>einem</w:t>
      </w:r>
      <w:proofErr w:type="gramEnd"/>
      <w:r w:rsidRPr="00DB6D2C">
        <w:rPr>
          <w:rFonts w:ascii="inherit" w:hAnsi="inherit"/>
          <w:sz w:val="20"/>
          <w:szCs w:val="18"/>
        </w:rPr>
        <w:t xml:space="preserve"> Legeraster. Mit dem Square Board lernen die Schülerinnen und</w:t>
      </w:r>
      <w:r w:rsidRPr="00DB6D2C">
        <w:rPr>
          <w:rFonts w:ascii="inherit" w:hAnsi="inherit"/>
          <w:sz w:val="20"/>
          <w:szCs w:val="18"/>
        </w:rPr>
        <w:t xml:space="preserve"> Schüler ganz einfach durch „be</w:t>
      </w:r>
      <w:r w:rsidRPr="00DB6D2C">
        <w:rPr>
          <w:rFonts w:ascii="inherit" w:hAnsi="inherit"/>
          <w:sz w:val="20"/>
          <w:szCs w:val="18"/>
        </w:rPr>
        <w:t xml:space="preserve">greifen“ das Rechnen im Hunderterraum und Vieles darüber hinaus. </w:t>
      </w:r>
      <w:r w:rsidRPr="00DB6D2C">
        <w:rPr>
          <w:rFonts w:ascii="inherit" w:hAnsi="inherit"/>
          <w:sz w:val="20"/>
          <w:szCs w:val="18"/>
        </w:rPr>
        <w:br/>
      </w:r>
      <w:r w:rsidRPr="00DB6D2C">
        <w:rPr>
          <w:rFonts w:ascii="inherit" w:hAnsi="inherit"/>
          <w:b/>
          <w:sz w:val="20"/>
          <w:szCs w:val="18"/>
        </w:rPr>
        <w:t>Wir haben unser Square Board für die Partnerarbeit entwickelt, es hat die Größe einer halben Schülerbank</w:t>
      </w:r>
      <w:r w:rsidRPr="00DB6D2C">
        <w:rPr>
          <w:rFonts w:ascii="inherit" w:hAnsi="inherit"/>
          <w:sz w:val="20"/>
          <w:szCs w:val="18"/>
        </w:rPr>
        <w:t xml:space="preserve"> und so ist daneben noch ausreichend Platz.</w:t>
      </w:r>
      <w:r w:rsidRPr="00DB6D2C">
        <w:rPr>
          <w:rFonts w:ascii="inherit" w:hAnsi="inherit"/>
          <w:sz w:val="20"/>
          <w:szCs w:val="18"/>
        </w:rPr>
        <w:br/>
        <w:t xml:space="preserve">Jedem Square Board liegen 100 blaue und 100 rote magnetische Moosgummisteine für die Vorderseite bei. Für die Legeplatte auf der Rückseite werden 375 schwarze </w:t>
      </w:r>
      <w:proofErr w:type="spellStart"/>
      <w:r w:rsidRPr="00DB6D2C">
        <w:rPr>
          <w:rFonts w:ascii="inherit" w:hAnsi="inherit"/>
          <w:sz w:val="20"/>
          <w:szCs w:val="18"/>
        </w:rPr>
        <w:t>Mossgummisteine</w:t>
      </w:r>
      <w:proofErr w:type="spellEnd"/>
      <w:r w:rsidRPr="00DB6D2C">
        <w:rPr>
          <w:rFonts w:ascii="inherit" w:hAnsi="inherit"/>
          <w:sz w:val="20"/>
          <w:szCs w:val="18"/>
        </w:rPr>
        <w:t xml:space="preserve"> in Form von kleinen und große Quadraten, Rechtecken und Dreiecken mitgeliefert, die das Legen von Mustern ermöglichen.</w:t>
      </w:r>
      <w:r w:rsidRPr="00DB6D2C">
        <w:rPr>
          <w:rFonts w:ascii="inherit" w:hAnsi="inherit"/>
          <w:sz w:val="20"/>
          <w:szCs w:val="18"/>
        </w:rPr>
        <w:br/>
      </w:r>
      <w:r w:rsidRPr="00DB6D2C">
        <w:rPr>
          <w:rFonts w:ascii="inherit" w:hAnsi="inherit"/>
          <w:sz w:val="20"/>
          <w:szCs w:val="18"/>
        </w:rPr>
        <w:br/>
      </w:r>
      <w:r w:rsidRPr="00DB6D2C">
        <w:rPr>
          <w:rFonts w:ascii="inherit" w:hAnsi="inherit"/>
          <w:b/>
          <w:bCs/>
          <w:sz w:val="20"/>
          <w:szCs w:val="18"/>
          <w:bdr w:val="none" w:sz="0" w:space="0" w:color="auto" w:frame="1"/>
        </w:rPr>
        <w:t xml:space="preserve">Im Bereich Square Board „Vorderseite“ </w:t>
      </w:r>
      <w:r w:rsidRPr="00DB6D2C">
        <w:rPr>
          <w:rFonts w:ascii="inherit" w:hAnsi="inherit"/>
          <w:sz w:val="20"/>
          <w:szCs w:val="18"/>
        </w:rPr>
        <w:t>geht es ausschließlich um das Hunderterfeld. Dafür wurden von Lehrkräften spezielle Arbeitskarten entwickelt. D</w:t>
      </w:r>
      <w:r w:rsidRPr="00DB6D2C">
        <w:rPr>
          <w:rFonts w:ascii="inherit" w:hAnsi="inherit"/>
          <w:sz w:val="20"/>
          <w:szCs w:val="18"/>
        </w:rPr>
        <w:t>ie beiliegenden Arbeits-</w:t>
      </w:r>
      <w:r w:rsidRPr="00DB6D2C">
        <w:rPr>
          <w:rFonts w:ascii="inherit" w:hAnsi="inherit"/>
          <w:sz w:val="20"/>
          <w:szCs w:val="18"/>
        </w:rPr>
        <w:t xml:space="preserve"> bzw. Wochenplan-Karten sollen den Schülern eine selbstständige Übung mit dem Square Board zum mathematischen Lerninhalt „Die Hunderttafel“ ermöglichen. Das Square Board ist für die Schüler sehr motivierend und bietet einen handelnden Zugang zum Zahlenraum bis 100. Durch das anfängliche Begreifen (handelndes Lernen und bewusste Auseinandersetzung mit der Hundertertafel) wird eine wi</w:t>
      </w:r>
      <w:r w:rsidRPr="00DB6D2C">
        <w:rPr>
          <w:rFonts w:ascii="inherit" w:hAnsi="inherit"/>
          <w:sz w:val="20"/>
          <w:szCs w:val="18"/>
        </w:rPr>
        <w:t>chtige Grundlage für das mathema</w:t>
      </w:r>
      <w:r w:rsidRPr="00DB6D2C">
        <w:rPr>
          <w:rFonts w:ascii="inherit" w:hAnsi="inherit"/>
          <w:sz w:val="20"/>
          <w:szCs w:val="18"/>
        </w:rPr>
        <w:t>tische Verstehen gelegt, die eine Basiskompetenz für das weitere Rechnen darstellt.</w:t>
      </w:r>
      <w:r w:rsidRPr="00DB6D2C">
        <w:rPr>
          <w:rFonts w:ascii="inherit" w:hAnsi="inherit"/>
          <w:sz w:val="20"/>
          <w:szCs w:val="18"/>
        </w:rPr>
        <w:br/>
      </w:r>
      <w:r w:rsidRPr="00DB6D2C">
        <w:rPr>
          <w:rFonts w:ascii="inherit" w:hAnsi="inherit"/>
          <w:sz w:val="20"/>
          <w:szCs w:val="18"/>
        </w:rPr>
        <w:br/>
      </w:r>
      <w:r w:rsidRPr="00DB6D2C">
        <w:rPr>
          <w:rFonts w:ascii="inherit" w:hAnsi="inherit"/>
          <w:b/>
          <w:bCs/>
          <w:sz w:val="20"/>
          <w:szCs w:val="18"/>
          <w:bdr w:val="none" w:sz="0" w:space="0" w:color="auto" w:frame="1"/>
        </w:rPr>
        <w:t>Im Bereich Square Board „Rückseite“</w:t>
      </w:r>
      <w:r w:rsidRPr="00DB6D2C">
        <w:rPr>
          <w:rFonts w:ascii="inherit" w:hAnsi="inherit"/>
          <w:sz w:val="20"/>
          <w:szCs w:val="18"/>
        </w:rPr>
        <w:t xml:space="preserve"> geht es ausschließlich um Muster. Um Kompetenzen im Bereich Muster und Strukturen aufbauen zu können, ist es unumgänglich, dass die Schüler die Gelegenheit erhalten diese aktiv zu erforschen, fortzusetzen, umzugestalten oder selbst zu erzeugen. Mit der Rückseite des Square Boards erhalten Kinder diese Möglichkeit in großer Vielfalt, da hierfür von Lehrkräften spezielle Aufgabenkarten entwickelt wurden. Durch handelnden Umgang mit konkreten Gegenständen sammeln Kinder Erfahrungen mit geometrischen Strukturen. Sie erkennen und beschreiben Muster und Regelmäßigkeiten. Das räumliche Vorstellungsvermögen setzt jedoch nicht nur konkrete Erfahrungen voraus, sondern verlangt auch die Fähigkeit, sich Objekte, deren Lage oder Veränderungen vorstellen zu können (Kopfgeometrie). Diese Raum-Lage-Beziehungen und das Ablösen vom Konkreten hin zur Kopfgeometrie werden durch die Arbeitskartei angebahnt und gefördert. </w:t>
      </w:r>
      <w:r w:rsidRPr="00DB6D2C">
        <w:rPr>
          <w:rFonts w:ascii="inherit" w:hAnsi="inherit"/>
          <w:sz w:val="20"/>
          <w:szCs w:val="18"/>
        </w:rPr>
        <w:br/>
      </w:r>
      <w:r w:rsidRPr="00017AA1">
        <w:rPr>
          <w:rFonts w:ascii="inherit" w:hAnsi="inherit"/>
          <w:color w:val="7F7F7F"/>
          <w:sz w:val="18"/>
          <w:szCs w:val="18"/>
        </w:rPr>
        <w:br/>
      </w:r>
      <w:r w:rsidRPr="00017AA1">
        <w:rPr>
          <w:rFonts w:ascii="inherit" w:hAnsi="inherit"/>
          <w:b/>
          <w:bCs/>
          <w:color w:val="7F7F7F"/>
          <w:sz w:val="18"/>
          <w:szCs w:val="18"/>
          <w:bdr w:val="none" w:sz="0" w:space="0" w:color="auto" w:frame="1"/>
        </w:rPr>
        <w:t>Inhalt:</w:t>
      </w:r>
      <w:r w:rsidRPr="00017AA1">
        <w:rPr>
          <w:rFonts w:ascii="inherit" w:hAnsi="inherit"/>
          <w:color w:val="7F7F7F"/>
          <w:sz w:val="18"/>
          <w:szCs w:val="18"/>
        </w:rPr>
        <w:t xml:space="preserve"> </w:t>
      </w:r>
    </w:p>
    <w:p w:rsidR="001A16CF" w:rsidRPr="00017AA1" w:rsidRDefault="001A16CF" w:rsidP="001A16CF">
      <w:pPr>
        <w:numPr>
          <w:ilvl w:val="0"/>
          <w:numId w:val="1"/>
        </w:numPr>
        <w:spacing w:line="240" w:lineRule="auto"/>
        <w:ind w:left="450"/>
        <w:jc w:val="both"/>
        <w:textAlignment w:val="baseline"/>
        <w:rPr>
          <w:rFonts w:ascii="inherit" w:hAnsi="inherit"/>
          <w:color w:val="737E86"/>
          <w:sz w:val="16"/>
          <w:szCs w:val="16"/>
        </w:rPr>
      </w:pPr>
      <w:r w:rsidRPr="00017AA1">
        <w:rPr>
          <w:rFonts w:ascii="inherit" w:hAnsi="inherit"/>
          <w:color w:val="737E86"/>
          <w:sz w:val="16"/>
          <w:szCs w:val="16"/>
        </w:rPr>
        <w:t>1 Square Board</w:t>
      </w:r>
    </w:p>
    <w:p w:rsidR="001A16CF" w:rsidRPr="00017AA1" w:rsidRDefault="001A16CF" w:rsidP="001A16CF">
      <w:pPr>
        <w:numPr>
          <w:ilvl w:val="0"/>
          <w:numId w:val="1"/>
        </w:numPr>
        <w:spacing w:line="240" w:lineRule="auto"/>
        <w:ind w:left="450"/>
        <w:jc w:val="both"/>
        <w:textAlignment w:val="baseline"/>
        <w:rPr>
          <w:rFonts w:ascii="inherit" w:hAnsi="inherit"/>
          <w:color w:val="737E86"/>
          <w:sz w:val="16"/>
          <w:szCs w:val="16"/>
        </w:rPr>
      </w:pPr>
      <w:r w:rsidRPr="00017AA1">
        <w:rPr>
          <w:rFonts w:ascii="inherit" w:hAnsi="inherit"/>
          <w:color w:val="737E86"/>
          <w:sz w:val="16"/>
          <w:szCs w:val="16"/>
        </w:rPr>
        <w:t xml:space="preserve">100 magnetische, rote Punkte </w:t>
      </w:r>
    </w:p>
    <w:p w:rsidR="001A16CF" w:rsidRPr="00017AA1" w:rsidRDefault="001A16CF" w:rsidP="001A16CF">
      <w:pPr>
        <w:numPr>
          <w:ilvl w:val="0"/>
          <w:numId w:val="1"/>
        </w:numPr>
        <w:spacing w:line="240" w:lineRule="auto"/>
        <w:ind w:left="450"/>
        <w:jc w:val="both"/>
        <w:textAlignment w:val="baseline"/>
        <w:rPr>
          <w:rFonts w:ascii="inherit" w:hAnsi="inherit"/>
          <w:color w:val="737E86"/>
          <w:sz w:val="16"/>
          <w:szCs w:val="16"/>
        </w:rPr>
      </w:pPr>
      <w:r w:rsidRPr="00017AA1">
        <w:rPr>
          <w:rFonts w:ascii="inherit" w:hAnsi="inherit"/>
          <w:color w:val="737E86"/>
          <w:sz w:val="16"/>
          <w:szCs w:val="16"/>
        </w:rPr>
        <w:t>100 magnetische, blaue Punkte</w:t>
      </w:r>
    </w:p>
    <w:p w:rsidR="001A16CF" w:rsidRPr="00017AA1" w:rsidRDefault="001A16CF" w:rsidP="001A16CF">
      <w:pPr>
        <w:numPr>
          <w:ilvl w:val="0"/>
          <w:numId w:val="1"/>
        </w:numPr>
        <w:spacing w:line="240" w:lineRule="auto"/>
        <w:ind w:left="450"/>
        <w:jc w:val="both"/>
        <w:textAlignment w:val="baseline"/>
        <w:rPr>
          <w:rFonts w:ascii="inherit" w:hAnsi="inherit"/>
          <w:color w:val="737E86"/>
          <w:sz w:val="16"/>
          <w:szCs w:val="16"/>
        </w:rPr>
      </w:pPr>
      <w:r w:rsidRPr="00017AA1">
        <w:rPr>
          <w:rFonts w:ascii="inherit" w:hAnsi="inherit"/>
          <w:color w:val="737E86"/>
          <w:sz w:val="16"/>
          <w:szCs w:val="16"/>
        </w:rPr>
        <w:t>375 magnetische, schwarze verschiedene Legeformen (Rückseite)</w:t>
      </w:r>
    </w:p>
    <w:p w:rsidR="001A16CF" w:rsidRPr="00017AA1" w:rsidRDefault="001A16CF" w:rsidP="00017AA1">
      <w:pPr>
        <w:textAlignment w:val="baseline"/>
        <w:rPr>
          <w:rFonts w:ascii="inherit" w:hAnsi="inherit"/>
          <w:color w:val="7F7F7F"/>
          <w:sz w:val="16"/>
          <w:szCs w:val="16"/>
        </w:rPr>
      </w:pPr>
      <w:r w:rsidRPr="00017AA1">
        <w:rPr>
          <w:rFonts w:ascii="inherit" w:hAnsi="inherit"/>
          <w:color w:val="7F7F7F"/>
          <w:sz w:val="16"/>
          <w:szCs w:val="16"/>
        </w:rPr>
        <w:br/>
      </w:r>
      <w:r w:rsidRPr="00DB6D2C">
        <w:rPr>
          <w:rFonts w:ascii="inherit" w:hAnsi="inherit"/>
          <w:b/>
          <w:bCs/>
          <w:sz w:val="32"/>
          <w:szCs w:val="32"/>
          <w:bdr w:val="none" w:sz="0" w:space="0" w:color="auto" w:frame="1"/>
        </w:rPr>
        <w:t>Info</w:t>
      </w:r>
      <w:r w:rsidR="00017AA1" w:rsidRPr="00DB6D2C">
        <w:rPr>
          <w:rFonts w:ascii="inherit" w:hAnsi="inherit"/>
          <w:sz w:val="32"/>
          <w:szCs w:val="32"/>
        </w:rPr>
        <w:br/>
      </w:r>
      <w:r w:rsidR="00017AA1" w:rsidRPr="00017AA1">
        <w:rPr>
          <w:rFonts w:ascii="inherit" w:hAnsi="inherit"/>
          <w:color w:val="7F7F7F"/>
          <w:sz w:val="16"/>
          <w:szCs w:val="16"/>
        </w:rPr>
        <w:br/>
      </w:r>
      <w:r w:rsidR="00017AA1" w:rsidRPr="00017AA1">
        <w:rPr>
          <w:rFonts w:ascii="inherit" w:hAnsi="inherit"/>
          <w:b/>
          <w:sz w:val="16"/>
          <w:szCs w:val="16"/>
        </w:rPr>
        <w:t xml:space="preserve">Unsere </w:t>
      </w:r>
      <w:r w:rsidRPr="00017AA1">
        <w:rPr>
          <w:rFonts w:ascii="inherit" w:hAnsi="inherit"/>
          <w:b/>
          <w:sz w:val="16"/>
          <w:szCs w:val="16"/>
        </w:rPr>
        <w:t>Square Board</w:t>
      </w:r>
      <w:r w:rsidR="00017AA1" w:rsidRPr="00017AA1">
        <w:rPr>
          <w:rFonts w:ascii="inherit" w:hAnsi="inherit"/>
          <w:b/>
          <w:sz w:val="16"/>
          <w:szCs w:val="16"/>
        </w:rPr>
        <w:t>-Box</w:t>
      </w:r>
      <w:r w:rsidRPr="00017AA1">
        <w:rPr>
          <w:rFonts w:ascii="inherit" w:hAnsi="inherit"/>
          <w:b/>
          <w:sz w:val="16"/>
          <w:szCs w:val="16"/>
        </w:rPr>
        <w:t xml:space="preserve"> </w:t>
      </w:r>
      <w:r w:rsidR="00017AA1" w:rsidRPr="00017AA1">
        <w:rPr>
          <w:rFonts w:ascii="inherit" w:hAnsi="inherit"/>
          <w:b/>
          <w:sz w:val="16"/>
          <w:szCs w:val="16"/>
        </w:rPr>
        <w:t xml:space="preserve">enthält </w:t>
      </w:r>
      <w:r w:rsidRPr="00017AA1">
        <w:rPr>
          <w:rFonts w:ascii="inherit" w:hAnsi="inherit"/>
          <w:b/>
          <w:sz w:val="16"/>
          <w:szCs w:val="16"/>
        </w:rPr>
        <w:t>zwei verschiedene Kartensätze</w:t>
      </w:r>
      <w:r w:rsidR="00DB6D2C">
        <w:rPr>
          <w:rFonts w:ascii="inherit" w:hAnsi="inherit"/>
          <w:b/>
          <w:sz w:val="16"/>
          <w:szCs w:val="16"/>
        </w:rPr>
        <w:t xml:space="preserve"> (Auftragskarten + </w:t>
      </w:r>
      <w:proofErr w:type="spellStart"/>
      <w:r w:rsidR="00DB6D2C">
        <w:rPr>
          <w:rFonts w:ascii="inherit" w:hAnsi="inherit"/>
          <w:b/>
          <w:sz w:val="16"/>
          <w:szCs w:val="16"/>
        </w:rPr>
        <w:t>Tangramkarten</w:t>
      </w:r>
      <w:proofErr w:type="spellEnd"/>
      <w:r w:rsidR="00DB6D2C">
        <w:rPr>
          <w:rFonts w:ascii="inherit" w:hAnsi="inherit"/>
          <w:b/>
          <w:sz w:val="16"/>
          <w:szCs w:val="16"/>
        </w:rPr>
        <w:t>)</w:t>
      </w:r>
      <w:r w:rsidR="00017AA1" w:rsidRPr="00017AA1">
        <w:rPr>
          <w:rFonts w:ascii="inherit" w:hAnsi="inherit"/>
          <w:b/>
          <w:sz w:val="16"/>
          <w:szCs w:val="16"/>
        </w:rPr>
        <w:t>.</w:t>
      </w:r>
      <w:r w:rsidR="00DB6D2C">
        <w:rPr>
          <w:rFonts w:ascii="inherit" w:hAnsi="inherit"/>
          <w:b/>
          <w:sz w:val="16"/>
          <w:szCs w:val="16"/>
        </w:rPr>
        <w:t xml:space="preserve"> </w:t>
      </w:r>
      <w:r w:rsidRPr="00017AA1">
        <w:rPr>
          <w:rFonts w:ascii="inherit" w:hAnsi="inherit"/>
          <w:b/>
          <w:sz w:val="16"/>
          <w:szCs w:val="16"/>
        </w:rPr>
        <w:br/>
      </w:r>
      <w:r w:rsidRPr="00017AA1">
        <w:rPr>
          <w:rFonts w:ascii="inherit" w:hAnsi="inherit"/>
          <w:color w:val="7F7F7F"/>
          <w:sz w:val="16"/>
          <w:szCs w:val="16"/>
        </w:rPr>
        <w:br/>
      </w:r>
    </w:p>
    <w:p w:rsidR="00017AA1" w:rsidRDefault="00017AA1" w:rsidP="00BD27CE">
      <w:pPr>
        <w:spacing w:before="100" w:beforeAutospacing="1" w:line="240" w:lineRule="auto"/>
        <w:jc w:val="center"/>
        <w:outlineLvl w:val="3"/>
        <w:rPr>
          <w:rFonts w:ascii="Arial" w:eastAsia="Times New Roman" w:hAnsi="Arial" w:cs="Arial"/>
          <w:b/>
          <w:bCs/>
          <w:sz w:val="33"/>
          <w:szCs w:val="44"/>
          <w:lang w:eastAsia="de-DE"/>
        </w:rPr>
      </w:pPr>
    </w:p>
    <w:p w:rsidR="00BD27CE" w:rsidRPr="00BD27CE" w:rsidRDefault="00BD27CE" w:rsidP="00BD27CE">
      <w:pPr>
        <w:spacing w:before="100" w:beforeAutospacing="1" w:line="240" w:lineRule="auto"/>
        <w:jc w:val="center"/>
        <w:outlineLvl w:val="3"/>
        <w:rPr>
          <w:rFonts w:ascii="Arial" w:eastAsia="Times New Roman" w:hAnsi="Arial" w:cs="Arial"/>
          <w:b/>
          <w:bCs/>
          <w:sz w:val="25"/>
          <w:szCs w:val="44"/>
          <w:lang w:eastAsia="de-DE"/>
        </w:rPr>
      </w:pPr>
      <w:r w:rsidRPr="00BD27CE">
        <w:rPr>
          <w:rFonts w:ascii="Arial" w:eastAsia="Times New Roman" w:hAnsi="Arial" w:cs="Arial"/>
          <w:b/>
          <w:bCs/>
          <w:sz w:val="25"/>
          <w:szCs w:val="44"/>
          <w:lang w:eastAsia="de-DE"/>
        </w:rPr>
        <w:t xml:space="preserve">Die Aufgabenkarten für den 20er- und 100er-Raum </w:t>
      </w:r>
      <w:r w:rsidR="00017AA1" w:rsidRPr="00017AA1">
        <w:rPr>
          <w:rFonts w:ascii="Arial" w:eastAsia="Times New Roman" w:hAnsi="Arial" w:cs="Arial"/>
          <w:b/>
          <w:bCs/>
          <w:sz w:val="25"/>
          <w:szCs w:val="44"/>
          <w:lang w:eastAsia="de-DE"/>
        </w:rPr>
        <w:t xml:space="preserve">gibt es </w:t>
      </w:r>
      <w:r w:rsidRPr="00BD27CE">
        <w:rPr>
          <w:rFonts w:ascii="Arial" w:eastAsia="Times New Roman" w:hAnsi="Arial" w:cs="Arial"/>
          <w:b/>
          <w:bCs/>
          <w:sz w:val="25"/>
          <w:szCs w:val="44"/>
          <w:lang w:eastAsia="de-DE"/>
        </w:rPr>
        <w:t>in einem kompletten Set</w:t>
      </w:r>
    </w:p>
    <w:p w:rsidR="00BD27CE" w:rsidRPr="00BD27CE" w:rsidRDefault="00BD27CE" w:rsidP="00BD27CE">
      <w:pPr>
        <w:spacing w:before="100" w:beforeAutospacing="1" w:line="240" w:lineRule="auto"/>
        <w:jc w:val="center"/>
        <w:rPr>
          <w:rFonts w:ascii="Arial" w:eastAsia="Times New Roman" w:hAnsi="Arial" w:cs="Arial"/>
          <w:szCs w:val="30"/>
          <w:lang w:eastAsia="de-DE"/>
        </w:rPr>
      </w:pPr>
      <w:r w:rsidRPr="00BD27CE">
        <w:rPr>
          <w:rFonts w:ascii="Arial" w:eastAsia="Times New Roman" w:hAnsi="Arial" w:cs="Arial"/>
          <w:szCs w:val="30"/>
          <w:lang w:eastAsia="de-DE"/>
        </w:rPr>
        <w:t xml:space="preserve">(Die Karten inkl. Vorwort und Arbeitsblättern </w:t>
      </w:r>
      <w:r w:rsidRPr="00BD27CE">
        <w:rPr>
          <w:rFonts w:ascii="Arial" w:eastAsia="Times New Roman" w:hAnsi="Arial" w:cs="Arial"/>
          <w:color w:val="FF0000"/>
          <w:szCs w:val="30"/>
          <w:lang w:eastAsia="de-DE"/>
        </w:rPr>
        <w:t>müssen unter der Art.-Nr. 424-80 separat bestellt werden</w:t>
      </w:r>
      <w:r w:rsidRPr="00BD27CE">
        <w:rPr>
          <w:rFonts w:ascii="Arial" w:eastAsia="Times New Roman" w:hAnsi="Arial" w:cs="Arial"/>
          <w:szCs w:val="30"/>
          <w:lang w:eastAsia="de-DE"/>
        </w:rPr>
        <w:t xml:space="preserve"> - Grund: extra Entwicklung durch Lehrkräfte)</w:t>
      </w:r>
    </w:p>
    <w:p w:rsidR="006F19F6" w:rsidRPr="00017AA1" w:rsidRDefault="00BD27CE" w:rsidP="00BD27CE">
      <w:pPr>
        <w:tabs>
          <w:tab w:val="left" w:pos="4300"/>
        </w:tabs>
        <w:rPr>
          <w:sz w:val="16"/>
          <w:szCs w:val="16"/>
        </w:rPr>
      </w:pPr>
      <w:r w:rsidRPr="00017AA1">
        <w:rPr>
          <w:sz w:val="16"/>
          <w:szCs w:val="16"/>
        </w:rPr>
        <w:tab/>
      </w:r>
    </w:p>
    <w:sectPr w:rsidR="006F19F6" w:rsidRPr="00017AA1" w:rsidSect="00BD27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01"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FD2"/>
    <w:multiLevelType w:val="multilevel"/>
    <w:tmpl w:val="560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CE"/>
    <w:rsid w:val="00017AA1"/>
    <w:rsid w:val="001A16CF"/>
    <w:rsid w:val="00204126"/>
    <w:rsid w:val="006F19F6"/>
    <w:rsid w:val="00BD27CE"/>
    <w:rsid w:val="00C95CB9"/>
    <w:rsid w:val="00DB6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BD27C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D27CE"/>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A16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A16CF"/>
    <w:rPr>
      <w:color w:val="0000FF"/>
      <w:u w:val="single"/>
    </w:rPr>
  </w:style>
  <w:style w:type="paragraph" w:styleId="Sprechblasentext">
    <w:name w:val="Balloon Text"/>
    <w:basedOn w:val="Standard"/>
    <w:link w:val="SprechblasentextZchn"/>
    <w:uiPriority w:val="99"/>
    <w:semiHidden/>
    <w:unhideWhenUsed/>
    <w:rsid w:val="001A16C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6CF"/>
    <w:rPr>
      <w:rFonts w:ascii="Tahoma" w:hAnsi="Tahoma" w:cs="Tahoma"/>
      <w:sz w:val="16"/>
      <w:szCs w:val="16"/>
    </w:rPr>
  </w:style>
  <w:style w:type="character" w:styleId="BesuchterHyperlink">
    <w:name w:val="FollowedHyperlink"/>
    <w:basedOn w:val="Absatz-Standardschriftart"/>
    <w:uiPriority w:val="99"/>
    <w:semiHidden/>
    <w:unhideWhenUsed/>
    <w:rsid w:val="00017A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BD27C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D27CE"/>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A16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A16CF"/>
    <w:rPr>
      <w:color w:val="0000FF"/>
      <w:u w:val="single"/>
    </w:rPr>
  </w:style>
  <w:style w:type="paragraph" w:styleId="Sprechblasentext">
    <w:name w:val="Balloon Text"/>
    <w:basedOn w:val="Standard"/>
    <w:link w:val="SprechblasentextZchn"/>
    <w:uiPriority w:val="99"/>
    <w:semiHidden/>
    <w:unhideWhenUsed/>
    <w:rsid w:val="001A16C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6CF"/>
    <w:rPr>
      <w:rFonts w:ascii="Tahoma" w:hAnsi="Tahoma" w:cs="Tahoma"/>
      <w:sz w:val="16"/>
      <w:szCs w:val="16"/>
    </w:rPr>
  </w:style>
  <w:style w:type="character" w:styleId="BesuchterHyperlink">
    <w:name w:val="FollowedHyperlink"/>
    <w:basedOn w:val="Absatz-Standardschriftart"/>
    <w:uiPriority w:val="99"/>
    <w:semiHidden/>
    <w:unhideWhenUsed/>
    <w:rsid w:val="00017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1219">
      <w:bodyDiv w:val="1"/>
      <w:marLeft w:val="0"/>
      <w:marRight w:val="0"/>
      <w:marTop w:val="0"/>
      <w:marBottom w:val="0"/>
      <w:divBdr>
        <w:top w:val="none" w:sz="0" w:space="0" w:color="auto"/>
        <w:left w:val="none" w:sz="0" w:space="0" w:color="auto"/>
        <w:bottom w:val="none" w:sz="0" w:space="0" w:color="auto"/>
        <w:right w:val="none" w:sz="0" w:space="0" w:color="auto"/>
      </w:divBdr>
    </w:div>
    <w:div w:id="1399136669">
      <w:bodyDiv w:val="1"/>
      <w:marLeft w:val="0"/>
      <w:marRight w:val="0"/>
      <w:marTop w:val="0"/>
      <w:marBottom w:val="0"/>
      <w:divBdr>
        <w:top w:val="none" w:sz="0" w:space="0" w:color="auto"/>
        <w:left w:val="none" w:sz="0" w:space="0" w:color="auto"/>
        <w:bottom w:val="none" w:sz="0" w:space="0" w:color="auto"/>
        <w:right w:val="none" w:sz="0" w:space="0" w:color="auto"/>
      </w:divBdr>
      <w:divsChild>
        <w:div w:id="936249488">
          <w:marLeft w:val="1"/>
          <w:marRight w:val="1"/>
          <w:marTop w:val="0"/>
          <w:marBottom w:val="0"/>
          <w:divBdr>
            <w:top w:val="none" w:sz="0" w:space="0" w:color="auto"/>
            <w:left w:val="none" w:sz="0" w:space="0" w:color="auto"/>
            <w:bottom w:val="none" w:sz="0" w:space="0" w:color="auto"/>
            <w:right w:val="none" w:sz="0" w:space="0" w:color="auto"/>
          </w:divBdr>
          <w:divsChild>
            <w:div w:id="560285205">
              <w:marLeft w:val="0"/>
              <w:marRight w:val="0"/>
              <w:marTop w:val="0"/>
              <w:marBottom w:val="0"/>
              <w:divBdr>
                <w:top w:val="single" w:sz="2" w:space="0" w:color="F8F8F8"/>
                <w:left w:val="single" w:sz="2" w:space="0" w:color="F8F8F8"/>
                <w:bottom w:val="single" w:sz="2" w:space="0" w:color="F8F8F8"/>
                <w:right w:val="single" w:sz="2" w:space="0" w:color="F8F8F8"/>
              </w:divBdr>
              <w:divsChild>
                <w:div w:id="1577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2424">
          <w:marLeft w:val="1"/>
          <w:marRight w:val="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Richard Brunner</dc:creator>
  <cp:lastModifiedBy>Josef Richard Brunner</cp:lastModifiedBy>
  <cp:revision>1</cp:revision>
  <dcterms:created xsi:type="dcterms:W3CDTF">2019-10-15T13:28:00Z</dcterms:created>
  <dcterms:modified xsi:type="dcterms:W3CDTF">2019-10-15T14:09:00Z</dcterms:modified>
</cp:coreProperties>
</file>